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lang w:val="sv-SE"/>
        </w:rPr>
      </w:pPr>
      <w:r>
        <w:rPr>
          <w:b/>
          <w:noProof/>
          <w:sz w:val="24"/>
          <w:lang w:val="sv-SE"/>
        </w:rPr>
        <w:t>3GPP TSG-SA3 Meeting #107-e</w:t>
      </w:r>
      <w:r>
        <w:rPr>
          <w:b/>
          <w:i/>
          <w:noProof/>
          <w:sz w:val="24"/>
          <w:lang w:val="sv-SE"/>
        </w:rPr>
        <w:t xml:space="preserve"> </w:t>
      </w:r>
      <w:r>
        <w:rPr>
          <w:b/>
          <w:i/>
          <w:noProof/>
          <w:sz w:val="28"/>
          <w:lang w:val="sv-SE"/>
        </w:rPr>
        <w:tab/>
        <w:t>S3-</w:t>
      </w:r>
      <w:r>
        <w:rPr>
          <w:b/>
          <w:i/>
          <w:noProof/>
          <w:sz w:val="28"/>
          <w:lang w:val="sv-SE"/>
        </w:rPr>
        <w:t>220736</w:t>
      </w:r>
    </w:p>
    <w:p>
      <w:pPr>
        <w:pStyle w:val="CRCoverPage"/>
        <w:tabs>
          <w:tab w:val="right" w:pos="9630"/>
        </w:tabs>
        <w:outlineLvl w:val="0"/>
        <w:rPr>
          <w:b/>
          <w:bCs/>
          <w:noProof/>
          <w:sz w:val="24"/>
        </w:rPr>
      </w:pPr>
      <w:r>
        <w:rPr>
          <w:b/>
          <w:bCs/>
          <w:sz w:val="24"/>
        </w:rPr>
        <w:t>e-meeting, 16 - 20 May 2022</w:t>
      </w:r>
      <w:r>
        <w:rPr>
          <w:b/>
          <w:bCs/>
          <w:sz w:val="24"/>
        </w:rPr>
        <w:tab/>
      </w:r>
      <w:r>
        <w:t>revision of S3-22xxxx</w:t>
      </w:r>
    </w:p>
    <w:p>
      <w:pPr>
        <w:keepNext/>
        <w:pBdr>
          <w:bottom w:val="single" w:sz="4" w:space="1" w:color="auto"/>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Interdigital</w:t>
      </w:r>
      <w:r>
        <w:rPr>
          <w:rFonts w:ascii="Arial" w:hAnsi="Arial"/>
          <w:b/>
        </w:rPr>
        <w:t xml:space="preserve"> </w:t>
      </w:r>
    </w:p>
    <w:p>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proofErr w:type="spellStart"/>
      <w:r>
        <w:rPr>
          <w:rFonts w:ascii="Arial" w:hAnsi="Arial" w:cs="Arial"/>
          <w:b/>
        </w:rPr>
        <w:t>PAnF</w:t>
      </w:r>
      <w:proofErr w:type="spellEnd"/>
      <w:r>
        <w:rPr>
          <w:rFonts w:ascii="Arial" w:hAnsi="Arial" w:cs="Arial"/>
          <w:b/>
        </w:rPr>
        <w:t xml:space="preserve"> supported services discussion</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Endorsement</w:t>
      </w:r>
    </w:p>
    <w:p>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4.7</w:t>
      </w:r>
    </w:p>
    <w:p>
      <w:pPr>
        <w:pStyle w:val="Heading1"/>
      </w:pPr>
      <w:r>
        <w:t>1</w:t>
      </w:r>
      <w:r>
        <w:tab/>
        <w:t>Decision/action requested</w:t>
      </w:r>
    </w:p>
    <w:p>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Pr>
          <w:b/>
          <w:i/>
        </w:rPr>
        <w:t xml:space="preserve">This contribution provides a comparison of the different proposed </w:t>
      </w:r>
      <w:proofErr w:type="spellStart"/>
      <w:r>
        <w:rPr>
          <w:b/>
          <w:i/>
        </w:rPr>
        <w:t>PAnF</w:t>
      </w:r>
      <w:proofErr w:type="spellEnd"/>
      <w:r>
        <w:rPr>
          <w:b/>
          <w:i/>
        </w:rPr>
        <w:t xml:space="preserve"> services and propose recommendation</w:t>
      </w:r>
    </w:p>
    <w:p>
      <w:pPr>
        <w:pStyle w:val="Heading1"/>
      </w:pPr>
      <w:r>
        <w:t>2</w:t>
      </w:r>
      <w:r>
        <w:tab/>
        <w:t>References</w:t>
      </w:r>
    </w:p>
    <w:p>
      <w:pPr>
        <w:pStyle w:val="Reference"/>
      </w:pPr>
      <w:r>
        <w:t>[1]</w:t>
      </w:r>
      <w:r>
        <w:tab/>
        <w:t>3GPP TS 33.503 v0.3.0</w:t>
      </w:r>
    </w:p>
    <w:p>
      <w:pPr>
        <w:pStyle w:val="Reference"/>
      </w:pPr>
      <w:r>
        <w:t>[2]</w:t>
      </w:r>
      <w:r>
        <w:tab/>
        <w:t>Interdigital et al, "S3-22xxxx CP procedure update PRUK storage "</w:t>
      </w:r>
    </w:p>
    <w:p>
      <w:pPr>
        <w:pStyle w:val="Reference"/>
      </w:pPr>
      <w:r>
        <w:t>[3]</w:t>
      </w:r>
      <w:r>
        <w:tab/>
        <w:t xml:space="preserve">CATT, "S3-22xxxx </w:t>
      </w:r>
      <w:proofErr w:type="spellStart"/>
      <w:r>
        <w:t>pCR</w:t>
      </w:r>
      <w:proofErr w:type="spellEnd"/>
      <w:r>
        <w:t xml:space="preserve"> to TS33.503 Clause 6.3 Update security procedure over Control Plane "</w:t>
      </w:r>
    </w:p>
    <w:p>
      <w:pPr>
        <w:pStyle w:val="Reference"/>
      </w:pPr>
      <w:r>
        <w:t>[4]</w:t>
      </w:r>
      <w:r>
        <w:tab/>
        <w:t>Huawei, "S3-22xxxx Resolving the EN on the needs and usage of 5GPRUK ID"</w:t>
      </w:r>
    </w:p>
    <w:p>
      <w:pPr>
        <w:pStyle w:val="Reference"/>
      </w:pPr>
      <w:r>
        <w:t>[5]</w:t>
      </w:r>
      <w:r>
        <w:tab/>
        <w:t>3GPP TS 33.535 v17.5.0</w:t>
      </w:r>
    </w:p>
    <w:p>
      <w:pPr>
        <w:pStyle w:val="Heading1"/>
      </w:pPr>
      <w:r>
        <w:t>3</w:t>
      </w:r>
      <w:r>
        <w:tab/>
        <w:t>Rationale</w:t>
      </w:r>
    </w:p>
    <w:p>
      <w:pPr>
        <w:rPr>
          <w:bCs/>
          <w:iCs/>
        </w:rPr>
      </w:pPr>
      <w:r>
        <w:rPr>
          <w:bCs/>
          <w:iCs/>
        </w:rPr>
        <w:t xml:space="preserve">This contribution presents an analysis of the different proposals for 5GPRUK storage/5GPRUK ID usage using a </w:t>
      </w:r>
      <w:proofErr w:type="spellStart"/>
      <w:r>
        <w:rPr>
          <w:bCs/>
          <w:iCs/>
        </w:rPr>
        <w:t>PAnF</w:t>
      </w:r>
      <w:proofErr w:type="spellEnd"/>
      <w:r>
        <w:rPr>
          <w:bCs/>
          <w:iCs/>
        </w:rPr>
        <w:t xml:space="preserve"> as presented during Prose Conference call on April 12</w:t>
      </w:r>
      <w:r>
        <w:rPr>
          <w:bCs/>
          <w:iCs/>
          <w:vertAlign w:val="superscript"/>
        </w:rPr>
        <w:t xml:space="preserve">th </w:t>
      </w:r>
      <w:r>
        <w:rPr>
          <w:bCs/>
          <w:iCs/>
        </w:rPr>
        <w:t>(see [2], [3], [4])</w:t>
      </w:r>
      <w:r>
        <w:rPr>
          <w:bCs/>
          <w:iCs/>
          <w:vertAlign w:val="subscript"/>
        </w:rPr>
        <w:t>.</w:t>
      </w:r>
    </w:p>
    <w:p>
      <w:pPr>
        <w:pStyle w:val="Heading1"/>
      </w:pPr>
      <w:r>
        <w:t>4</w:t>
      </w:r>
      <w:r>
        <w:tab/>
        <w:t>Discussion</w:t>
      </w:r>
    </w:p>
    <w:p>
      <w:r>
        <w:t xml:space="preserve">The solutions [2], [3], and [4] all propose to use a </w:t>
      </w:r>
      <w:proofErr w:type="spellStart"/>
      <w:r>
        <w:t>PAnF</w:t>
      </w:r>
      <w:proofErr w:type="spellEnd"/>
      <w:r>
        <w:t xml:space="preserve"> to store the 5G ProSe Remote UE 5GPRUK/5GPRUK ID and can support 5GPRUK ID in DCR. AUSF is responsible for 5GPRUK/5GPRUK ID derivation as per TS 33.503 [1].</w:t>
      </w:r>
    </w:p>
    <w:p>
      <w:r>
        <w:rPr>
          <w:lang w:val="en-US"/>
        </w:rPr>
        <w:t xml:space="preserve">In solution [2], </w:t>
      </w:r>
      <w:proofErr w:type="spellStart"/>
      <w:r>
        <w:rPr>
          <w:lang w:val="en-US"/>
        </w:rPr>
        <w:t>PAnF</w:t>
      </w:r>
      <w:proofErr w:type="spellEnd"/>
      <w:r>
        <w:rPr>
          <w:lang w:val="en-US"/>
        </w:rPr>
        <w:t xml:space="preserve"> is based on principles </w:t>
      </w:r>
      <w:proofErr w:type="gramStart"/>
      <w:r>
        <w:rPr>
          <w:lang w:val="en-US"/>
        </w:rPr>
        <w:t>similar to</w:t>
      </w:r>
      <w:proofErr w:type="gramEnd"/>
      <w:r>
        <w:rPr>
          <w:lang w:val="en-US"/>
        </w:rPr>
        <w:t xml:space="preserve"> </w:t>
      </w:r>
      <w:proofErr w:type="spellStart"/>
      <w:r>
        <w:rPr>
          <w:lang w:val="en-US"/>
        </w:rPr>
        <w:t>AAnF</w:t>
      </w:r>
      <w:proofErr w:type="spellEnd"/>
      <w:r>
        <w:rPr>
          <w:lang w:val="en-US"/>
        </w:rPr>
        <w:t xml:space="preserve"> (see TS 33.535 [5]). </w:t>
      </w:r>
      <w:proofErr w:type="spellStart"/>
      <w:r>
        <w:rPr>
          <w:lang w:val="en-US"/>
        </w:rPr>
        <w:t>PAnF</w:t>
      </w:r>
      <w:proofErr w:type="spellEnd"/>
      <w:r>
        <w:rPr>
          <w:lang w:val="en-US"/>
        </w:rPr>
        <w:t xml:space="preserve"> provides an Anchor key (PRUK) registration service used by AUSF to register </w:t>
      </w:r>
      <w:r>
        <w:t xml:space="preserve">5GPRUK/5GPRUK ID. </w:t>
      </w:r>
      <w:proofErr w:type="spellStart"/>
      <w:r>
        <w:t>PAnF</w:t>
      </w:r>
      <w:proofErr w:type="spellEnd"/>
      <w:r>
        <w:t xml:space="preserve"> derives a PC5 link root key (</w:t>
      </w:r>
      <w:proofErr w:type="spellStart"/>
      <w:r>
        <w:rPr>
          <w:lang w:eastAsia="zh-CN"/>
        </w:rPr>
        <w:t>K</w:t>
      </w:r>
      <w:r>
        <w:rPr>
          <w:vertAlign w:val="subscript"/>
          <w:lang w:eastAsia="zh-CN"/>
        </w:rPr>
        <w:t>NR_ProSe</w:t>
      </w:r>
      <w:proofErr w:type="spellEnd"/>
      <w:r>
        <w:t xml:space="preserve">) when requested by AMF based on 5GPRUK ID. The </w:t>
      </w:r>
      <w:proofErr w:type="spellStart"/>
      <w:r>
        <w:t>PAnF</w:t>
      </w:r>
      <w:proofErr w:type="spellEnd"/>
      <w:r>
        <w:t xml:space="preserve"> maintains the Remote UE Prose context.</w:t>
      </w:r>
    </w:p>
    <w:p>
      <w:pPr>
        <w:rPr>
          <w:lang w:val="en-US"/>
        </w:rPr>
      </w:pPr>
      <w:r>
        <w:rPr>
          <w:lang w:val="en-US"/>
        </w:rPr>
        <w:t>In solution [3]</w:t>
      </w:r>
      <w:proofErr w:type="gramStart"/>
      <w:r>
        <w:rPr>
          <w:lang w:val="en-US"/>
        </w:rPr>
        <w:t>/[</w:t>
      </w:r>
      <w:proofErr w:type="gramEnd"/>
      <w:r>
        <w:rPr>
          <w:lang w:val="en-US"/>
        </w:rPr>
        <w:t xml:space="preserve">4] </w:t>
      </w:r>
      <w:proofErr w:type="spellStart"/>
      <w:r>
        <w:rPr>
          <w:lang w:val="en-US"/>
        </w:rPr>
        <w:t>PAnF</w:t>
      </w:r>
      <w:proofErr w:type="spellEnd"/>
      <w:r>
        <w:rPr>
          <w:lang w:val="en-US"/>
        </w:rPr>
        <w:t xml:space="preserve"> acts as a storage function dedicated to AUSF for storage and retrieval of 5GPRUK/5GPRUK ID.</w:t>
      </w:r>
    </w:p>
    <w:p>
      <w:r>
        <w:t xml:space="preserve">The key differences in these solutions are summarized in the following table. </w:t>
      </w:r>
    </w:p>
    <w:tbl>
      <w:tblPr>
        <w:tblW w:w="963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4320"/>
        <w:gridCol w:w="4050"/>
      </w:tblGrid>
      <w:tr>
        <w:trPr>
          <w:trHeight w:val="348"/>
        </w:trPr>
        <w:tc>
          <w:tcPr>
            <w:tcW w:w="1260" w:type="dxa"/>
            <w:shd w:val="clear" w:color="auto" w:fill="auto"/>
          </w:tcPr>
          <w:p>
            <w:pPr>
              <w:jc w:val="center"/>
            </w:pPr>
          </w:p>
        </w:tc>
        <w:tc>
          <w:tcPr>
            <w:tcW w:w="4320" w:type="dxa"/>
            <w:shd w:val="clear" w:color="auto" w:fill="auto"/>
          </w:tcPr>
          <w:p>
            <w:pPr>
              <w:jc w:val="center"/>
              <w:rPr>
                <w:b/>
                <w:bCs/>
              </w:rPr>
            </w:pPr>
            <w:r>
              <w:rPr>
                <w:b/>
                <w:bCs/>
              </w:rPr>
              <w:t>Solution [2]</w:t>
            </w:r>
          </w:p>
        </w:tc>
        <w:tc>
          <w:tcPr>
            <w:tcW w:w="4050" w:type="dxa"/>
            <w:shd w:val="clear" w:color="auto" w:fill="auto"/>
          </w:tcPr>
          <w:p>
            <w:pPr>
              <w:jc w:val="center"/>
              <w:rPr>
                <w:b/>
                <w:bCs/>
              </w:rPr>
            </w:pPr>
            <w:r>
              <w:rPr>
                <w:b/>
                <w:bCs/>
              </w:rPr>
              <w:t>Solution [3]</w:t>
            </w:r>
            <w:proofErr w:type="gramStart"/>
            <w:r>
              <w:rPr>
                <w:b/>
                <w:bCs/>
              </w:rPr>
              <w:t>/[</w:t>
            </w:r>
            <w:proofErr w:type="gramEnd"/>
            <w:r>
              <w:rPr>
                <w:b/>
                <w:bCs/>
              </w:rPr>
              <w:t>4]</w:t>
            </w:r>
          </w:p>
        </w:tc>
      </w:tr>
      <w:tr>
        <w:trPr>
          <w:trHeight w:val="348"/>
        </w:trPr>
        <w:tc>
          <w:tcPr>
            <w:tcW w:w="1260" w:type="dxa"/>
          </w:tcPr>
          <w:p>
            <w:pPr>
              <w:rPr>
                <w:b/>
                <w:bCs/>
                <w:sz w:val="16"/>
                <w:szCs w:val="16"/>
                <w:lang w:val="en-US"/>
              </w:rPr>
            </w:pPr>
            <w:r>
              <w:rPr>
                <w:b/>
                <w:bCs/>
                <w:sz w:val="16"/>
                <w:szCs w:val="16"/>
                <w:lang w:val="en-US"/>
              </w:rPr>
              <w:t xml:space="preserve">1. </w:t>
            </w:r>
            <w:proofErr w:type="spellStart"/>
            <w:r>
              <w:rPr>
                <w:b/>
                <w:bCs/>
                <w:sz w:val="16"/>
                <w:szCs w:val="16"/>
                <w:lang w:val="en-US"/>
              </w:rPr>
              <w:t>PAnF</w:t>
            </w:r>
            <w:proofErr w:type="spellEnd"/>
            <w:r>
              <w:rPr>
                <w:b/>
                <w:bCs/>
                <w:sz w:val="16"/>
                <w:szCs w:val="16"/>
                <w:lang w:val="en-US"/>
              </w:rPr>
              <w:t xml:space="preserve"> selection</w:t>
            </w:r>
          </w:p>
        </w:tc>
        <w:tc>
          <w:tcPr>
            <w:tcW w:w="4320" w:type="dxa"/>
          </w:tcPr>
          <w:p>
            <w:pPr>
              <w:jc w:val="center"/>
              <w:rPr>
                <w:sz w:val="16"/>
                <w:szCs w:val="16"/>
                <w:lang w:val="en-US"/>
              </w:rPr>
            </w:pPr>
            <w:r>
              <w:rPr>
                <w:sz w:val="16"/>
                <w:szCs w:val="16"/>
                <w:lang w:val="en-US"/>
              </w:rPr>
              <w:t xml:space="preserve">SUCI in DCR: by Remote </w:t>
            </w:r>
            <w:proofErr w:type="gramStart"/>
            <w:r>
              <w:rPr>
                <w:sz w:val="16"/>
                <w:szCs w:val="16"/>
                <w:lang w:val="en-US"/>
              </w:rPr>
              <w:t>AUSF ,</w:t>
            </w:r>
            <w:proofErr w:type="gramEnd"/>
            <w:r>
              <w:rPr>
                <w:sz w:val="16"/>
                <w:szCs w:val="16"/>
                <w:lang w:val="en-US"/>
              </w:rPr>
              <w:t xml:space="preserve"> any </w:t>
            </w:r>
            <w:proofErr w:type="spellStart"/>
            <w:r>
              <w:rPr>
                <w:sz w:val="16"/>
                <w:szCs w:val="16"/>
                <w:lang w:val="en-US"/>
              </w:rPr>
              <w:t>PAnF</w:t>
            </w:r>
            <w:proofErr w:type="spellEnd"/>
            <w:r>
              <w:rPr>
                <w:sz w:val="16"/>
                <w:szCs w:val="16"/>
                <w:lang w:val="en-US"/>
              </w:rPr>
              <w:t xml:space="preserve"> instance</w:t>
            </w:r>
          </w:p>
          <w:p>
            <w:pPr>
              <w:jc w:val="center"/>
              <w:rPr>
                <w:sz w:val="16"/>
                <w:szCs w:val="16"/>
                <w:lang w:val="en-US"/>
              </w:rPr>
            </w:pPr>
            <w:r>
              <w:rPr>
                <w:sz w:val="16"/>
                <w:szCs w:val="16"/>
                <w:lang w:val="en-US"/>
              </w:rPr>
              <w:t xml:space="preserve">5GPRUK ID in DCR: </w:t>
            </w:r>
            <w:r>
              <w:rPr>
                <w:b/>
                <w:bCs/>
                <w:sz w:val="16"/>
                <w:szCs w:val="16"/>
                <w:lang w:val="en-US"/>
              </w:rPr>
              <w:t>by</w:t>
            </w:r>
            <w:r>
              <w:rPr>
                <w:sz w:val="16"/>
                <w:szCs w:val="16"/>
                <w:lang w:val="en-US"/>
              </w:rPr>
              <w:t xml:space="preserve"> </w:t>
            </w:r>
            <w:r>
              <w:rPr>
                <w:b/>
                <w:bCs/>
                <w:sz w:val="16"/>
                <w:szCs w:val="16"/>
                <w:lang w:val="en-US"/>
              </w:rPr>
              <w:t>Relay AMF</w:t>
            </w:r>
            <w:r>
              <w:rPr>
                <w:sz w:val="16"/>
                <w:szCs w:val="16"/>
                <w:lang w:val="en-US"/>
              </w:rPr>
              <w:t xml:space="preserve"> using 5GPRUK ID</w:t>
            </w:r>
          </w:p>
        </w:tc>
        <w:tc>
          <w:tcPr>
            <w:tcW w:w="4050" w:type="dxa"/>
            <w:shd w:val="clear" w:color="auto" w:fill="auto"/>
          </w:tcPr>
          <w:p>
            <w:pPr>
              <w:jc w:val="center"/>
              <w:rPr>
                <w:sz w:val="16"/>
                <w:szCs w:val="16"/>
                <w:lang w:val="en-US"/>
              </w:rPr>
            </w:pPr>
            <w:r>
              <w:rPr>
                <w:sz w:val="16"/>
                <w:szCs w:val="16"/>
                <w:lang w:val="en-US"/>
              </w:rPr>
              <w:t xml:space="preserve">SUCI in DCR: by Remote </w:t>
            </w:r>
            <w:proofErr w:type="gramStart"/>
            <w:r>
              <w:rPr>
                <w:sz w:val="16"/>
                <w:szCs w:val="16"/>
                <w:lang w:val="en-US"/>
              </w:rPr>
              <w:t>AUSF ,</w:t>
            </w:r>
            <w:proofErr w:type="gramEnd"/>
            <w:r>
              <w:rPr>
                <w:sz w:val="16"/>
                <w:szCs w:val="16"/>
                <w:lang w:val="en-US"/>
              </w:rPr>
              <w:t xml:space="preserve"> any </w:t>
            </w:r>
            <w:proofErr w:type="spellStart"/>
            <w:r>
              <w:rPr>
                <w:sz w:val="16"/>
                <w:szCs w:val="16"/>
                <w:lang w:val="en-US"/>
              </w:rPr>
              <w:t>PAnF</w:t>
            </w:r>
            <w:proofErr w:type="spellEnd"/>
            <w:r>
              <w:rPr>
                <w:sz w:val="16"/>
                <w:szCs w:val="16"/>
                <w:lang w:val="en-US"/>
              </w:rPr>
              <w:t xml:space="preserve"> instance</w:t>
            </w:r>
          </w:p>
          <w:p>
            <w:pPr>
              <w:jc w:val="center"/>
              <w:rPr>
                <w:sz w:val="16"/>
                <w:szCs w:val="16"/>
                <w:lang w:val="en-US"/>
              </w:rPr>
            </w:pPr>
            <w:r>
              <w:rPr>
                <w:sz w:val="16"/>
                <w:szCs w:val="16"/>
                <w:lang w:val="en-US"/>
              </w:rPr>
              <w:t xml:space="preserve">5GPRUK ID in DCR: </w:t>
            </w:r>
            <w:r>
              <w:rPr>
                <w:b/>
                <w:bCs/>
                <w:sz w:val="16"/>
                <w:szCs w:val="16"/>
                <w:lang w:val="en-US"/>
              </w:rPr>
              <w:t>Relay AMF selects AUSF which selects</w:t>
            </w:r>
            <w:r>
              <w:rPr>
                <w:sz w:val="16"/>
                <w:szCs w:val="16"/>
                <w:lang w:val="en-US"/>
              </w:rPr>
              <w:t xml:space="preserve"> </w:t>
            </w:r>
            <w:proofErr w:type="spellStart"/>
            <w:r>
              <w:rPr>
                <w:b/>
                <w:bCs/>
                <w:sz w:val="16"/>
                <w:szCs w:val="16"/>
                <w:lang w:val="en-US"/>
              </w:rPr>
              <w:t>PAnF</w:t>
            </w:r>
            <w:proofErr w:type="spellEnd"/>
            <w:r>
              <w:rPr>
                <w:sz w:val="16"/>
                <w:szCs w:val="16"/>
                <w:lang w:val="en-US"/>
              </w:rPr>
              <w:t xml:space="preserve"> using 5GPRUK ID with </w:t>
            </w:r>
            <w:proofErr w:type="spellStart"/>
            <w:r>
              <w:rPr>
                <w:sz w:val="16"/>
                <w:szCs w:val="16"/>
                <w:lang w:val="en-US"/>
              </w:rPr>
              <w:t>PAnF</w:t>
            </w:r>
            <w:proofErr w:type="spellEnd"/>
            <w:r>
              <w:rPr>
                <w:sz w:val="16"/>
                <w:szCs w:val="16"/>
                <w:lang w:val="en-US"/>
              </w:rPr>
              <w:t xml:space="preserve"> Routing indicator</w:t>
            </w:r>
            <w:r>
              <w:rPr>
                <w:b/>
                <w:bCs/>
                <w:sz w:val="16"/>
                <w:szCs w:val="16"/>
                <w:lang w:val="en-US"/>
              </w:rPr>
              <w:t xml:space="preserve"> </w:t>
            </w:r>
          </w:p>
        </w:tc>
      </w:tr>
      <w:tr>
        <w:trPr>
          <w:trHeight w:val="348"/>
        </w:trPr>
        <w:tc>
          <w:tcPr>
            <w:tcW w:w="1260" w:type="dxa"/>
          </w:tcPr>
          <w:p>
            <w:pPr>
              <w:rPr>
                <w:b/>
                <w:bCs/>
                <w:sz w:val="16"/>
                <w:szCs w:val="16"/>
                <w:lang w:val="en-US"/>
              </w:rPr>
            </w:pPr>
            <w:r>
              <w:rPr>
                <w:b/>
                <w:bCs/>
                <w:sz w:val="16"/>
                <w:szCs w:val="16"/>
                <w:lang w:val="en-US"/>
              </w:rPr>
              <w:t>2. PC5 link root key generation</w:t>
            </w:r>
          </w:p>
        </w:tc>
        <w:tc>
          <w:tcPr>
            <w:tcW w:w="4320" w:type="dxa"/>
          </w:tcPr>
          <w:p>
            <w:pPr>
              <w:jc w:val="center"/>
              <w:rPr>
                <w:sz w:val="16"/>
                <w:szCs w:val="16"/>
                <w:lang w:val="en-US"/>
              </w:rPr>
            </w:pPr>
            <w:r>
              <w:rPr>
                <w:sz w:val="16"/>
                <w:szCs w:val="16"/>
                <w:lang w:val="en-US"/>
              </w:rPr>
              <w:t>Yes</w:t>
            </w:r>
          </w:p>
        </w:tc>
        <w:tc>
          <w:tcPr>
            <w:tcW w:w="4050" w:type="dxa"/>
            <w:shd w:val="clear" w:color="auto" w:fill="auto"/>
          </w:tcPr>
          <w:p>
            <w:pPr>
              <w:jc w:val="center"/>
              <w:rPr>
                <w:sz w:val="16"/>
                <w:szCs w:val="16"/>
                <w:lang w:val="en-US"/>
              </w:rPr>
            </w:pPr>
            <w:r>
              <w:rPr>
                <w:sz w:val="16"/>
                <w:szCs w:val="16"/>
                <w:lang w:val="en-US"/>
              </w:rPr>
              <w:t xml:space="preserve">No </w:t>
            </w:r>
          </w:p>
          <w:p>
            <w:pPr>
              <w:jc w:val="center"/>
              <w:rPr>
                <w:sz w:val="16"/>
                <w:szCs w:val="16"/>
                <w:lang w:val="en-US"/>
              </w:rPr>
            </w:pPr>
            <w:r>
              <w:rPr>
                <w:sz w:val="16"/>
                <w:szCs w:val="16"/>
                <w:lang w:val="en-US"/>
              </w:rPr>
              <w:t>(done by AUSF)</w:t>
            </w:r>
          </w:p>
        </w:tc>
      </w:tr>
      <w:tr>
        <w:trPr>
          <w:trHeight w:val="348"/>
        </w:trPr>
        <w:tc>
          <w:tcPr>
            <w:tcW w:w="1260" w:type="dxa"/>
          </w:tcPr>
          <w:p>
            <w:pPr>
              <w:rPr>
                <w:b/>
                <w:bCs/>
                <w:sz w:val="16"/>
                <w:szCs w:val="16"/>
                <w:lang w:val="en-US"/>
              </w:rPr>
            </w:pPr>
            <w:r>
              <w:rPr>
                <w:b/>
                <w:bCs/>
                <w:sz w:val="16"/>
                <w:szCs w:val="16"/>
                <w:lang w:val="en-US"/>
              </w:rPr>
              <w:t>3. 5G ProSe Remote UE ProSe Context</w:t>
            </w:r>
          </w:p>
        </w:tc>
        <w:tc>
          <w:tcPr>
            <w:tcW w:w="4320" w:type="dxa"/>
          </w:tcPr>
          <w:p>
            <w:pPr>
              <w:jc w:val="center"/>
              <w:rPr>
                <w:sz w:val="16"/>
                <w:szCs w:val="16"/>
                <w:lang w:val="en-US"/>
              </w:rPr>
            </w:pPr>
            <w:r>
              <w:rPr>
                <w:b/>
                <w:bCs/>
              </w:rPr>
              <w:t>SUPI</w:t>
            </w:r>
            <w:r>
              <w:t xml:space="preserve">, 5GPRUK/5GPRUK ID, </w:t>
            </w:r>
            <w:r>
              <w:rPr>
                <w:b/>
                <w:bCs/>
              </w:rPr>
              <w:t>RSC</w:t>
            </w:r>
          </w:p>
        </w:tc>
        <w:tc>
          <w:tcPr>
            <w:tcW w:w="4050" w:type="dxa"/>
            <w:shd w:val="clear" w:color="auto" w:fill="auto"/>
          </w:tcPr>
          <w:p>
            <w:pPr>
              <w:jc w:val="center"/>
              <w:rPr>
                <w:sz w:val="16"/>
                <w:szCs w:val="16"/>
                <w:lang w:val="en-US"/>
              </w:rPr>
            </w:pPr>
            <w:r>
              <w:t>5GPRUK/5GPRUK ID</w:t>
            </w:r>
          </w:p>
        </w:tc>
      </w:tr>
      <w:tr>
        <w:trPr>
          <w:trHeight w:val="348"/>
        </w:trPr>
        <w:tc>
          <w:tcPr>
            <w:tcW w:w="1260" w:type="dxa"/>
          </w:tcPr>
          <w:p>
            <w:pPr>
              <w:rPr>
                <w:b/>
                <w:bCs/>
                <w:sz w:val="16"/>
                <w:szCs w:val="16"/>
                <w:lang w:val="en-US"/>
              </w:rPr>
            </w:pPr>
            <w:r>
              <w:rPr>
                <w:b/>
                <w:bCs/>
                <w:sz w:val="16"/>
                <w:szCs w:val="16"/>
                <w:lang w:val="en-US"/>
              </w:rPr>
              <w:t>4. Possible support for Secondary authentication?</w:t>
            </w:r>
          </w:p>
        </w:tc>
        <w:tc>
          <w:tcPr>
            <w:tcW w:w="4320" w:type="dxa"/>
          </w:tcPr>
          <w:p>
            <w:pPr>
              <w:jc w:val="center"/>
              <w:rPr>
                <w:sz w:val="16"/>
                <w:szCs w:val="16"/>
                <w:lang w:val="en-US"/>
              </w:rPr>
            </w:pPr>
            <w:r>
              <w:rPr>
                <w:sz w:val="16"/>
                <w:szCs w:val="16"/>
                <w:lang w:val="en-US"/>
              </w:rPr>
              <w:t>Yes</w:t>
            </w:r>
          </w:p>
          <w:p>
            <w:pPr>
              <w:jc w:val="center"/>
              <w:rPr>
                <w:sz w:val="16"/>
                <w:szCs w:val="16"/>
                <w:lang w:val="en-US"/>
              </w:rPr>
            </w:pPr>
            <w:r>
              <w:rPr>
                <w:sz w:val="16"/>
                <w:szCs w:val="16"/>
                <w:lang w:val="en-US"/>
              </w:rPr>
              <w:t>Relay AMF may request Remote UE SUPI using 5GPRUK ID</w:t>
            </w:r>
          </w:p>
        </w:tc>
        <w:tc>
          <w:tcPr>
            <w:tcW w:w="4050" w:type="dxa"/>
            <w:shd w:val="clear" w:color="auto" w:fill="auto"/>
          </w:tcPr>
          <w:p>
            <w:pPr>
              <w:jc w:val="center"/>
              <w:rPr>
                <w:sz w:val="16"/>
                <w:szCs w:val="16"/>
                <w:lang w:val="en-US"/>
              </w:rPr>
            </w:pPr>
            <w:r>
              <w:rPr>
                <w:sz w:val="16"/>
                <w:szCs w:val="16"/>
                <w:lang w:val="en-US"/>
              </w:rPr>
              <w:t>No</w:t>
            </w:r>
          </w:p>
        </w:tc>
      </w:tr>
      <w:tr>
        <w:trPr>
          <w:trHeight w:val="348"/>
        </w:trPr>
        <w:tc>
          <w:tcPr>
            <w:tcW w:w="1260" w:type="dxa"/>
            <w:tcBorders>
              <w:top w:val="single" w:sz="4" w:space="0" w:color="auto"/>
              <w:left w:val="single" w:sz="4" w:space="0" w:color="auto"/>
              <w:bottom w:val="single" w:sz="4" w:space="0" w:color="auto"/>
              <w:right w:val="single" w:sz="4" w:space="0" w:color="auto"/>
            </w:tcBorders>
          </w:tcPr>
          <w:p>
            <w:pPr>
              <w:rPr>
                <w:b/>
                <w:bCs/>
                <w:sz w:val="16"/>
                <w:szCs w:val="16"/>
                <w:lang w:val="en-US"/>
              </w:rPr>
            </w:pPr>
            <w:r>
              <w:rPr>
                <w:b/>
                <w:bCs/>
                <w:sz w:val="16"/>
                <w:szCs w:val="16"/>
                <w:lang w:val="en-US"/>
              </w:rPr>
              <w:lastRenderedPageBreak/>
              <w:t>5. Possible support for Removal of Prose key material?</w:t>
            </w:r>
          </w:p>
        </w:tc>
        <w:tc>
          <w:tcPr>
            <w:tcW w:w="4320" w:type="dxa"/>
            <w:tcBorders>
              <w:top w:val="single" w:sz="4" w:space="0" w:color="auto"/>
              <w:left w:val="single" w:sz="4" w:space="0" w:color="auto"/>
              <w:bottom w:val="single" w:sz="4" w:space="0" w:color="auto"/>
              <w:right w:val="single" w:sz="4" w:space="0" w:color="auto"/>
            </w:tcBorders>
          </w:tcPr>
          <w:p>
            <w:pPr>
              <w:jc w:val="center"/>
              <w:rPr>
                <w:sz w:val="16"/>
                <w:szCs w:val="16"/>
                <w:lang w:val="en-US"/>
              </w:rPr>
            </w:pPr>
            <w:r>
              <w:rPr>
                <w:sz w:val="16"/>
                <w:szCs w:val="16"/>
                <w:lang w:val="en-US"/>
              </w:rPr>
              <w:t xml:space="preserve">Yes </w:t>
            </w:r>
          </w:p>
          <w:p>
            <w:pPr>
              <w:jc w:val="center"/>
              <w:rPr>
                <w:sz w:val="16"/>
                <w:szCs w:val="16"/>
                <w:lang w:val="en-US"/>
              </w:rPr>
            </w:pPr>
            <w:r>
              <w:rPr>
                <w:sz w:val="16"/>
                <w:szCs w:val="16"/>
                <w:lang w:val="en-US"/>
              </w:rPr>
              <w:t>Requesting NF provides SUPI as input</w:t>
            </w:r>
          </w:p>
        </w:tc>
        <w:tc>
          <w:tcPr>
            <w:tcW w:w="4050" w:type="dxa"/>
            <w:tcBorders>
              <w:top w:val="single" w:sz="4" w:space="0" w:color="auto"/>
              <w:left w:val="single" w:sz="4" w:space="0" w:color="auto"/>
              <w:bottom w:val="single" w:sz="4" w:space="0" w:color="auto"/>
              <w:right w:val="single" w:sz="4" w:space="0" w:color="auto"/>
            </w:tcBorders>
            <w:shd w:val="clear" w:color="auto" w:fill="auto"/>
          </w:tcPr>
          <w:p>
            <w:pPr>
              <w:jc w:val="center"/>
              <w:rPr>
                <w:sz w:val="16"/>
                <w:szCs w:val="16"/>
                <w:lang w:val="en-US"/>
              </w:rPr>
            </w:pPr>
            <w:r>
              <w:rPr>
                <w:sz w:val="16"/>
                <w:szCs w:val="16"/>
                <w:lang w:val="en-US"/>
              </w:rPr>
              <w:t>No</w:t>
            </w:r>
          </w:p>
        </w:tc>
      </w:tr>
    </w:tbl>
    <w:p/>
    <w:p>
      <w:pPr>
        <w:jc w:val="both"/>
        <w:rPr>
          <w:rFonts w:eastAsia="Malgun Gothic"/>
          <w:b/>
          <w:lang w:eastAsia="ko-KR"/>
        </w:rPr>
      </w:pPr>
      <w:r>
        <w:rPr>
          <w:rFonts w:eastAsia="Malgun Gothic" w:hint="eastAsia"/>
          <w:b/>
          <w:lang w:eastAsia="ko-KR"/>
        </w:rPr>
        <w:t xml:space="preserve">Observation 1: </w:t>
      </w:r>
      <w:r>
        <w:rPr>
          <w:rFonts w:eastAsia="Malgun Gothic"/>
          <w:b/>
          <w:lang w:eastAsia="ko-KR"/>
        </w:rPr>
        <w:t>Both solutions address the Editor's Note:</w:t>
      </w:r>
      <w:r>
        <w:rPr>
          <w:rFonts w:eastAsia="Malgun Gothic"/>
          <w:b/>
          <w:lang w:eastAsia="ko-KR"/>
        </w:rPr>
        <w:tab/>
      </w:r>
      <w:r>
        <w:rPr>
          <w:rFonts w:eastAsia="Malgun Gothic"/>
          <w:b/>
          <w:i/>
          <w:iCs/>
          <w:lang w:eastAsia="ko-KR"/>
        </w:rPr>
        <w:t>"Further details on the needs and usage of 5GPRUK ID are FFS"</w:t>
      </w:r>
      <w:r>
        <w:rPr>
          <w:rFonts w:eastAsia="Malgun Gothic"/>
          <w:b/>
          <w:lang w:eastAsia="ko-KR"/>
        </w:rPr>
        <w:t xml:space="preserve"> (see clause 6.3.3.3.2 of TS 33.503 [1]).</w:t>
      </w:r>
    </w:p>
    <w:p>
      <w:pPr>
        <w:jc w:val="both"/>
        <w:rPr>
          <w:rFonts w:eastAsia="Malgun Gothic"/>
          <w:b/>
          <w:lang w:eastAsia="ko-KR"/>
        </w:rPr>
      </w:pPr>
      <w:r>
        <w:rPr>
          <w:rFonts w:eastAsia="Malgun Gothic" w:hint="eastAsia"/>
          <w:b/>
          <w:lang w:eastAsia="ko-KR"/>
        </w:rPr>
        <w:t xml:space="preserve">Observation </w:t>
      </w:r>
      <w:r>
        <w:rPr>
          <w:rFonts w:eastAsia="Malgun Gothic"/>
          <w:b/>
          <w:lang w:eastAsia="ko-KR"/>
        </w:rPr>
        <w:t>2</w:t>
      </w:r>
      <w:r>
        <w:rPr>
          <w:rFonts w:eastAsia="Malgun Gothic" w:hint="eastAsia"/>
          <w:b/>
          <w:lang w:eastAsia="ko-KR"/>
        </w:rPr>
        <w:t xml:space="preserve">: </w:t>
      </w:r>
      <w:r>
        <w:rPr>
          <w:rFonts w:eastAsia="Malgun Gothic"/>
          <w:b/>
          <w:lang w:eastAsia="ko-KR"/>
        </w:rPr>
        <w:t>In solution [3]</w:t>
      </w:r>
      <w:proofErr w:type="gramStart"/>
      <w:r>
        <w:rPr>
          <w:rFonts w:eastAsia="Malgun Gothic"/>
          <w:b/>
          <w:lang w:eastAsia="ko-KR"/>
        </w:rPr>
        <w:t>/[</w:t>
      </w:r>
      <w:proofErr w:type="gramEnd"/>
      <w:r>
        <w:rPr>
          <w:rFonts w:eastAsia="Malgun Gothic"/>
          <w:b/>
          <w:lang w:eastAsia="ko-KR"/>
        </w:rPr>
        <w:t xml:space="preserve">4] how to enable support for Remote UE Secondary Authentication is not defined. </w:t>
      </w:r>
    </w:p>
    <w:p>
      <w:pPr>
        <w:jc w:val="both"/>
        <w:rPr>
          <w:rFonts w:eastAsia="Malgun Gothic"/>
          <w:bCs/>
          <w:lang w:eastAsia="ko-KR"/>
        </w:rPr>
      </w:pPr>
      <w:r>
        <w:rPr>
          <w:rFonts w:eastAsia="Malgun Gothic"/>
          <w:bCs/>
          <w:lang w:eastAsia="ko-KR"/>
        </w:rPr>
        <w:t>Specifically, when the Remote UE provides a 5GPRUK ID in DCR, it is not defined how the solution can enable the Relay UE serving network to query Remote UE's SUPI and verify Remote UE's DN subscription information (</w:t>
      </w:r>
      <w:r>
        <w:rPr>
          <w:rFonts w:eastAsia="Malgun Gothic"/>
          <w:b/>
          <w:lang w:eastAsia="ko-KR"/>
        </w:rPr>
        <w:t>see ENs clause 6.3.3.3.4.2 of TS 33.503 [1]</w:t>
      </w:r>
      <w:r>
        <w:rPr>
          <w:rFonts w:eastAsia="Malgun Gothic"/>
          <w:bCs/>
          <w:lang w:eastAsia="ko-KR"/>
        </w:rPr>
        <w:t xml:space="preserve">). In solution [2], the </w:t>
      </w:r>
      <w:proofErr w:type="spellStart"/>
      <w:r>
        <w:rPr>
          <w:rFonts w:eastAsia="Malgun Gothic"/>
          <w:bCs/>
          <w:lang w:eastAsia="ko-KR"/>
        </w:rPr>
        <w:t>PAnF</w:t>
      </w:r>
      <w:proofErr w:type="spellEnd"/>
      <w:r>
        <w:rPr>
          <w:rFonts w:eastAsia="Malgun Gothic"/>
          <w:bCs/>
          <w:lang w:eastAsia="ko-KR"/>
        </w:rPr>
        <w:t xml:space="preserve"> stores the Remote UE ID which may be queried by the Relay AMF for Secondary authentication.</w:t>
      </w:r>
    </w:p>
    <w:p>
      <w:pPr>
        <w:rPr>
          <w:rFonts w:eastAsia="Malgun Gothic"/>
          <w:b/>
          <w:lang w:eastAsia="ko-KR"/>
        </w:rPr>
      </w:pPr>
      <w:r>
        <w:rPr>
          <w:rFonts w:eastAsia="Malgun Gothic" w:hint="eastAsia"/>
          <w:b/>
          <w:lang w:eastAsia="ko-KR"/>
        </w:rPr>
        <w:t xml:space="preserve">Observation </w:t>
      </w:r>
      <w:r>
        <w:rPr>
          <w:rFonts w:eastAsia="Malgun Gothic"/>
          <w:b/>
          <w:lang w:eastAsia="ko-KR"/>
        </w:rPr>
        <w:t>3</w:t>
      </w:r>
      <w:r>
        <w:rPr>
          <w:rFonts w:eastAsia="Malgun Gothic" w:hint="eastAsia"/>
          <w:b/>
          <w:lang w:eastAsia="ko-KR"/>
        </w:rPr>
        <w:t xml:space="preserve">: </w:t>
      </w:r>
      <w:r>
        <w:rPr>
          <w:rFonts w:eastAsia="Malgun Gothic"/>
          <w:b/>
          <w:lang w:eastAsia="ko-KR"/>
        </w:rPr>
        <w:t xml:space="preserve">It is not clear how the Prose key material can be removed from </w:t>
      </w:r>
      <w:proofErr w:type="spellStart"/>
      <w:r>
        <w:rPr>
          <w:rFonts w:eastAsia="Malgun Gothic"/>
          <w:b/>
          <w:lang w:eastAsia="ko-KR"/>
        </w:rPr>
        <w:t>PAnF</w:t>
      </w:r>
      <w:proofErr w:type="spellEnd"/>
      <w:r>
        <w:rPr>
          <w:rFonts w:eastAsia="Malgun Gothic"/>
          <w:b/>
          <w:lang w:eastAsia="ko-KR"/>
        </w:rPr>
        <w:t xml:space="preserve"> in solution [3]</w:t>
      </w:r>
      <w:proofErr w:type="gramStart"/>
      <w:r>
        <w:rPr>
          <w:rFonts w:eastAsia="Malgun Gothic"/>
          <w:b/>
          <w:lang w:eastAsia="ko-KR"/>
        </w:rPr>
        <w:t>/[</w:t>
      </w:r>
      <w:proofErr w:type="gramEnd"/>
      <w:r>
        <w:rPr>
          <w:rFonts w:eastAsia="Malgun Gothic"/>
          <w:b/>
          <w:lang w:eastAsia="ko-KR"/>
        </w:rPr>
        <w:t>4].</w:t>
      </w:r>
    </w:p>
    <w:p>
      <w:pPr>
        <w:rPr>
          <w:rFonts w:eastAsia="Malgun Gothic"/>
          <w:bCs/>
          <w:lang w:eastAsia="ko-KR"/>
        </w:rPr>
      </w:pPr>
      <w:r>
        <w:rPr>
          <w:rFonts w:eastAsia="Malgun Gothic"/>
          <w:bCs/>
          <w:lang w:eastAsia="ko-KR"/>
        </w:rPr>
        <w:t xml:space="preserve">Removal of the Prose key material should be possible to support in some scenarios (e.g., if the Remote UE authorization for the relay service is revoked). Since the Prose Key material can only be located with 5GPRUK ID and no other NF stores the 5GPRUK ID, it is not clear how the Prose key material can be removed from </w:t>
      </w:r>
      <w:proofErr w:type="spellStart"/>
      <w:r>
        <w:rPr>
          <w:rFonts w:eastAsia="Malgun Gothic"/>
          <w:bCs/>
          <w:lang w:eastAsia="ko-KR"/>
        </w:rPr>
        <w:t>PAnF</w:t>
      </w:r>
      <w:proofErr w:type="spellEnd"/>
      <w:r>
        <w:rPr>
          <w:rFonts w:eastAsia="Malgun Gothic"/>
          <w:bCs/>
          <w:lang w:eastAsia="ko-KR"/>
        </w:rPr>
        <w:t xml:space="preserve">. </w:t>
      </w:r>
    </w:p>
    <w:p>
      <w:pPr>
        <w:rPr>
          <w:rFonts w:eastAsia="Malgun Gothic"/>
          <w:b/>
          <w:lang w:eastAsia="ko-KR"/>
        </w:rPr>
      </w:pPr>
      <w:r>
        <w:rPr>
          <w:rFonts w:eastAsia="Malgun Gothic" w:hint="eastAsia"/>
          <w:b/>
          <w:lang w:eastAsia="ko-KR"/>
        </w:rPr>
        <w:t xml:space="preserve">Observation </w:t>
      </w:r>
      <w:r>
        <w:rPr>
          <w:rFonts w:eastAsia="Malgun Gothic"/>
          <w:b/>
          <w:lang w:eastAsia="ko-KR"/>
        </w:rPr>
        <w:t>4</w:t>
      </w:r>
      <w:r>
        <w:rPr>
          <w:rFonts w:eastAsia="Malgun Gothic" w:hint="eastAsia"/>
          <w:b/>
          <w:lang w:eastAsia="ko-KR"/>
        </w:rPr>
        <w:t xml:space="preserve">: </w:t>
      </w:r>
      <w:r>
        <w:rPr>
          <w:rFonts w:eastAsia="Malgun Gothic"/>
          <w:b/>
          <w:lang w:eastAsia="ko-KR"/>
        </w:rPr>
        <w:t>The PC5 link root key derived by AUSF as in solution [3]</w:t>
      </w:r>
      <w:proofErr w:type="gramStart"/>
      <w:r>
        <w:rPr>
          <w:rFonts w:eastAsia="Malgun Gothic"/>
          <w:b/>
          <w:lang w:eastAsia="ko-KR"/>
        </w:rPr>
        <w:t>/[</w:t>
      </w:r>
      <w:proofErr w:type="gramEnd"/>
      <w:r>
        <w:rPr>
          <w:rFonts w:eastAsia="Malgun Gothic"/>
          <w:b/>
          <w:lang w:eastAsia="ko-KR"/>
        </w:rPr>
        <w:t>4] introduces network messaging inefficiencies when Remote UE sends 5GPRUK ID in DCR.</w:t>
      </w:r>
    </w:p>
    <w:p>
      <w:pPr>
        <w:rPr>
          <w:rFonts w:eastAsia="Malgun Gothic"/>
          <w:bCs/>
          <w:lang w:eastAsia="ko-KR"/>
        </w:rPr>
      </w:pPr>
      <w:r>
        <w:rPr>
          <w:rFonts w:eastAsia="Malgun Gothic"/>
          <w:bCs/>
          <w:lang w:eastAsia="ko-KR"/>
        </w:rPr>
        <w:t xml:space="preserve">When the Remote UE sends 5GPRUK ID in DCR the Relay AMF needs to select the AUSF first to forward the Relay UE request. Then the AUSF needs in turn to select the </w:t>
      </w:r>
      <w:proofErr w:type="spellStart"/>
      <w:r>
        <w:rPr>
          <w:rFonts w:eastAsia="Malgun Gothic"/>
          <w:bCs/>
          <w:lang w:eastAsia="ko-KR"/>
        </w:rPr>
        <w:t>PAnF</w:t>
      </w:r>
      <w:proofErr w:type="spellEnd"/>
      <w:r>
        <w:rPr>
          <w:rFonts w:eastAsia="Malgun Gothic"/>
          <w:bCs/>
          <w:lang w:eastAsia="ko-KR"/>
        </w:rPr>
        <w:t xml:space="preserve"> to retrieve the 5GPRUK to derive the PC5 link root key.  </w:t>
      </w:r>
    </w:p>
    <w:p>
      <w:pPr>
        <w:rPr>
          <w:rFonts w:eastAsia="Malgun Gothic"/>
          <w:bCs/>
          <w:lang w:eastAsia="ko-KR"/>
        </w:rPr>
      </w:pPr>
      <w:r>
        <w:rPr>
          <w:rFonts w:eastAsia="Malgun Gothic"/>
          <w:bCs/>
          <w:lang w:eastAsia="ko-KR"/>
        </w:rPr>
        <w:t xml:space="preserve">With </w:t>
      </w:r>
      <w:proofErr w:type="spellStart"/>
      <w:r>
        <w:rPr>
          <w:rFonts w:eastAsia="Malgun Gothic"/>
          <w:bCs/>
          <w:lang w:eastAsia="ko-KR"/>
        </w:rPr>
        <w:t>PAnF</w:t>
      </w:r>
      <w:proofErr w:type="spellEnd"/>
      <w:r>
        <w:rPr>
          <w:rFonts w:eastAsia="Malgun Gothic"/>
          <w:bCs/>
          <w:lang w:eastAsia="ko-KR"/>
        </w:rPr>
        <w:t xml:space="preserve"> generating the PC5 link root key instead, the Relay AMF can select the </w:t>
      </w:r>
      <w:proofErr w:type="spellStart"/>
      <w:r>
        <w:rPr>
          <w:rFonts w:eastAsia="Malgun Gothic"/>
          <w:bCs/>
          <w:lang w:eastAsia="ko-KR"/>
        </w:rPr>
        <w:t>PAnF</w:t>
      </w:r>
      <w:proofErr w:type="spellEnd"/>
      <w:r>
        <w:rPr>
          <w:rFonts w:eastAsia="Malgun Gothic"/>
          <w:bCs/>
          <w:lang w:eastAsia="ko-KR"/>
        </w:rPr>
        <w:t xml:space="preserve"> directly as in solution [2] and avoid this "double selection/routing" inefficiency. This is </w:t>
      </w:r>
      <w:proofErr w:type="gramStart"/>
      <w:r>
        <w:rPr>
          <w:rFonts w:eastAsia="Malgun Gothic"/>
          <w:bCs/>
          <w:lang w:eastAsia="ko-KR"/>
        </w:rPr>
        <w:t>similar to</w:t>
      </w:r>
      <w:proofErr w:type="gramEnd"/>
      <w:r>
        <w:rPr>
          <w:rFonts w:eastAsia="Malgun Gothic"/>
          <w:bCs/>
          <w:lang w:eastAsia="ko-KR"/>
        </w:rPr>
        <w:t xml:space="preserve"> procedures of getting Kaf from </w:t>
      </w:r>
      <w:proofErr w:type="spellStart"/>
      <w:r>
        <w:rPr>
          <w:rFonts w:eastAsia="Malgun Gothic"/>
          <w:bCs/>
          <w:lang w:eastAsia="ko-KR"/>
        </w:rPr>
        <w:t>AAnF</w:t>
      </w:r>
      <w:proofErr w:type="spellEnd"/>
      <w:r>
        <w:rPr>
          <w:rFonts w:eastAsia="Malgun Gothic"/>
          <w:bCs/>
          <w:lang w:eastAsia="ko-KR"/>
        </w:rPr>
        <w:t xml:space="preserve"> (</w:t>
      </w:r>
      <w:r>
        <w:t>TS 33.535 [5]</w:t>
      </w:r>
      <w:r>
        <w:rPr>
          <w:rFonts w:eastAsia="Malgun Gothic"/>
          <w:bCs/>
          <w:lang w:eastAsia="ko-KR"/>
        </w:rPr>
        <w:t xml:space="preserve">) by AF. </w:t>
      </w:r>
    </w:p>
    <w:p>
      <w:pPr>
        <w:rPr>
          <w:rFonts w:eastAsia="Malgun Gothic"/>
          <w:bCs/>
          <w:lang w:eastAsia="ko-KR"/>
        </w:rPr>
      </w:pPr>
      <w:r>
        <w:rPr>
          <w:rFonts w:eastAsia="Malgun Gothic"/>
          <w:bCs/>
          <w:lang w:eastAsia="ko-KR"/>
        </w:rPr>
        <w:t xml:space="preserve">It is assumed that in general Remote UE should connect with the Relay using 5GPRUK ID more frequently than SUCI. </w:t>
      </w:r>
    </w:p>
    <w:p>
      <w:pPr>
        <w:rPr>
          <w:rFonts w:eastAsia="Malgun Gothic"/>
          <w:b/>
          <w:lang w:eastAsia="ko-KR"/>
        </w:rPr>
      </w:pPr>
      <w:r>
        <w:rPr>
          <w:rFonts w:eastAsia="Malgun Gothic" w:hint="eastAsia"/>
          <w:b/>
          <w:lang w:eastAsia="ko-KR"/>
        </w:rPr>
        <w:t xml:space="preserve">Observation </w:t>
      </w:r>
      <w:r>
        <w:rPr>
          <w:rFonts w:eastAsia="Malgun Gothic"/>
          <w:b/>
          <w:lang w:eastAsia="ko-KR"/>
        </w:rPr>
        <w:t>5</w:t>
      </w:r>
      <w:r>
        <w:rPr>
          <w:rFonts w:eastAsia="Malgun Gothic" w:hint="eastAsia"/>
          <w:b/>
          <w:lang w:eastAsia="ko-KR"/>
        </w:rPr>
        <w:t xml:space="preserve">: </w:t>
      </w:r>
      <w:r>
        <w:rPr>
          <w:rFonts w:eastAsia="Malgun Gothic"/>
          <w:b/>
          <w:lang w:eastAsia="ko-KR"/>
        </w:rPr>
        <w:t xml:space="preserve">AUSF may not be able to completely abstract </w:t>
      </w:r>
      <w:proofErr w:type="spellStart"/>
      <w:r>
        <w:rPr>
          <w:rFonts w:eastAsia="Malgun Gothic"/>
          <w:b/>
          <w:lang w:eastAsia="ko-KR"/>
        </w:rPr>
        <w:t>PAnF</w:t>
      </w:r>
      <w:proofErr w:type="spellEnd"/>
      <w:r>
        <w:rPr>
          <w:rFonts w:eastAsia="Malgun Gothic"/>
          <w:b/>
          <w:lang w:eastAsia="ko-KR"/>
        </w:rPr>
        <w:t xml:space="preserve"> from the rest of the NFs with the need for </w:t>
      </w:r>
      <w:proofErr w:type="spellStart"/>
      <w:r>
        <w:rPr>
          <w:rFonts w:eastAsia="Malgun Gothic"/>
          <w:b/>
          <w:lang w:eastAsia="ko-KR"/>
        </w:rPr>
        <w:t>PAnF</w:t>
      </w:r>
      <w:proofErr w:type="spellEnd"/>
      <w:r>
        <w:rPr>
          <w:rFonts w:eastAsia="Malgun Gothic"/>
          <w:b/>
          <w:lang w:eastAsia="ko-KR"/>
        </w:rPr>
        <w:t xml:space="preserve"> to expose other service operations (e.g., query Remote UE ID)</w:t>
      </w:r>
    </w:p>
    <w:p>
      <w:pPr>
        <w:rPr>
          <w:rFonts w:eastAsia="Malgun Gothic"/>
          <w:bCs/>
          <w:lang w:eastAsia="ko-KR"/>
        </w:rPr>
      </w:pPr>
      <w:r>
        <w:rPr>
          <w:rFonts w:eastAsia="Malgun Gothic"/>
          <w:bCs/>
          <w:lang w:eastAsia="ko-KR"/>
        </w:rPr>
        <w:t xml:space="preserve">Although abstracting </w:t>
      </w:r>
      <w:proofErr w:type="spellStart"/>
      <w:r>
        <w:rPr>
          <w:rFonts w:eastAsia="Malgun Gothic"/>
          <w:bCs/>
          <w:lang w:eastAsia="ko-KR"/>
        </w:rPr>
        <w:t>PAnF</w:t>
      </w:r>
      <w:proofErr w:type="spellEnd"/>
      <w:r>
        <w:rPr>
          <w:rFonts w:eastAsia="Malgun Gothic"/>
          <w:bCs/>
          <w:lang w:eastAsia="ko-KR"/>
        </w:rPr>
        <w:t xml:space="preserve"> by AUSF as proposed in solution [3][4] presents some advantages when only considering the 5GPRUK storage aspect, it does not consider additional services that may need to be provided (e.g., query Remote UE ID) and may not be future proof. Decoupling </w:t>
      </w:r>
      <w:proofErr w:type="spellStart"/>
      <w:r>
        <w:rPr>
          <w:rFonts w:eastAsia="Malgun Gothic"/>
          <w:bCs/>
          <w:lang w:eastAsia="ko-KR"/>
        </w:rPr>
        <w:t>PAnF</w:t>
      </w:r>
      <w:proofErr w:type="spellEnd"/>
      <w:r>
        <w:rPr>
          <w:rFonts w:eastAsia="Malgun Gothic"/>
          <w:bCs/>
          <w:lang w:eastAsia="ko-KR"/>
        </w:rPr>
        <w:t xml:space="preserve"> services from AUSF services (i.e., </w:t>
      </w:r>
      <w:proofErr w:type="spellStart"/>
      <w:r>
        <w:rPr>
          <w:rFonts w:eastAsia="Malgun Gothic"/>
          <w:bCs/>
          <w:lang w:eastAsia="ko-KR"/>
        </w:rPr>
        <w:t>PAnF</w:t>
      </w:r>
      <w:proofErr w:type="spellEnd"/>
      <w:r>
        <w:rPr>
          <w:rFonts w:eastAsia="Malgun Gothic"/>
          <w:bCs/>
          <w:lang w:eastAsia="ko-KR"/>
        </w:rPr>
        <w:t xml:space="preserve"> doing more than mere 5GPRUK storage) allows for possible reuse of work already done for very similar functions such as </w:t>
      </w:r>
      <w:proofErr w:type="spellStart"/>
      <w:r>
        <w:rPr>
          <w:rFonts w:eastAsia="Malgun Gothic"/>
          <w:bCs/>
          <w:lang w:eastAsia="ko-KR"/>
        </w:rPr>
        <w:t>AAnF</w:t>
      </w:r>
      <w:proofErr w:type="spellEnd"/>
      <w:r>
        <w:rPr>
          <w:rFonts w:eastAsia="Malgun Gothic"/>
          <w:bCs/>
          <w:lang w:eastAsia="ko-KR"/>
        </w:rPr>
        <w:t xml:space="preserve"> (</w:t>
      </w:r>
      <w:r>
        <w:t>TS 33.535 [5]</w:t>
      </w:r>
      <w:r>
        <w:rPr>
          <w:rFonts w:eastAsia="Malgun Gothic"/>
          <w:bCs/>
          <w:lang w:eastAsia="ko-KR"/>
        </w:rPr>
        <w:t>).</w:t>
      </w:r>
    </w:p>
    <w:p>
      <w:pPr>
        <w:pStyle w:val="Heading1"/>
      </w:pPr>
      <w:r>
        <w:t>5</w:t>
      </w:r>
      <w:r>
        <w:tab/>
        <w:t>Conclusion</w:t>
      </w:r>
    </w:p>
    <w:p>
      <w:pPr>
        <w:jc w:val="both"/>
      </w:pPr>
      <w:r>
        <w:t xml:space="preserve">Based on the above analysis, it is proposed to agree on the following services that shall be supported by </w:t>
      </w:r>
      <w:proofErr w:type="spellStart"/>
      <w:r>
        <w:t>PAnF</w:t>
      </w:r>
      <w:proofErr w:type="spellEnd"/>
      <w:r>
        <w:t>:</w:t>
      </w:r>
    </w:p>
    <w:p>
      <w:pPr>
        <w:numPr>
          <w:ilvl w:val="0"/>
          <w:numId w:val="33"/>
        </w:numPr>
        <w:jc w:val="both"/>
      </w:pPr>
      <w:r>
        <w:t>Support maintenance of 5G ProSe Remote UE ProSe context that includes SUPI, 5GPRUK/5GPRUK ID, RSC.</w:t>
      </w:r>
    </w:p>
    <w:p>
      <w:pPr>
        <w:numPr>
          <w:ilvl w:val="0"/>
          <w:numId w:val="33"/>
        </w:numPr>
        <w:jc w:val="both"/>
      </w:pPr>
      <w:r>
        <w:t>Support for requesting Remote UE ID from 5G ProSe Remote UE context (known consumer: Relay AMF).</w:t>
      </w:r>
    </w:p>
    <w:p>
      <w:pPr>
        <w:jc w:val="both"/>
      </w:pPr>
      <w:r>
        <w:t xml:space="preserve">The following service should be supported by </w:t>
      </w:r>
      <w:proofErr w:type="spellStart"/>
      <w:r>
        <w:t>PAnF</w:t>
      </w:r>
      <w:proofErr w:type="spellEnd"/>
      <w:r>
        <w:t>:</w:t>
      </w:r>
    </w:p>
    <w:p>
      <w:pPr>
        <w:numPr>
          <w:ilvl w:val="0"/>
          <w:numId w:val="33"/>
        </w:numPr>
        <w:jc w:val="both"/>
      </w:pPr>
      <w:r>
        <w:t>Support for PC5 link root key (</w:t>
      </w:r>
      <w:proofErr w:type="spellStart"/>
      <w:r>
        <w:rPr>
          <w:lang w:eastAsia="zh-CN"/>
        </w:rPr>
        <w:t>K</w:t>
      </w:r>
      <w:r>
        <w:rPr>
          <w:vertAlign w:val="subscript"/>
          <w:lang w:eastAsia="zh-CN"/>
        </w:rPr>
        <w:t>NR_ProSe</w:t>
      </w:r>
      <w:proofErr w:type="spellEnd"/>
      <w:r>
        <w:t>) derivation service (known consumer: Relay AMF).</w:t>
      </w:r>
    </w:p>
    <w:p>
      <w:pPr>
        <w:pStyle w:val="Heading1"/>
        <w:jc w:val="both"/>
      </w:pPr>
      <w:r>
        <w:t>6</w:t>
      </w:r>
      <w:r>
        <w:tab/>
        <w:t>Proposal</w:t>
      </w:r>
    </w:p>
    <w:p>
      <w:pPr>
        <w:jc w:val="both"/>
      </w:pPr>
      <w:r>
        <w:t xml:space="preserve">It is proposed to endorse this proposal as a way forward for the supported services by </w:t>
      </w:r>
      <w:proofErr w:type="spellStart"/>
      <w:r>
        <w:t>PAnF</w:t>
      </w:r>
      <w:proofErr w:type="spellEnd"/>
      <w:r>
        <w:t>.</w:t>
      </w:r>
    </w:p>
    <w:p>
      <w:pPr>
        <w:ind w:left="720" w:hanging="720"/>
      </w:pPr>
    </w:p>
    <w:sectPr>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 w:type="continuationNotice" w:id="1">
    <w:p>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 w:type="continuationNotice" w:id="1">
    <w:p>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D11CA1"/>
    <w:multiLevelType w:val="hybridMultilevel"/>
    <w:tmpl w:val="25BE76FC"/>
    <w:lvl w:ilvl="0" w:tplc="6AE07A1C">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8E602E"/>
    <w:multiLevelType w:val="hybridMultilevel"/>
    <w:tmpl w:val="E16448B6"/>
    <w:lvl w:ilvl="0" w:tplc="FA8ED278">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71465209"/>
    <w:multiLevelType w:val="hybridMultilevel"/>
    <w:tmpl w:val="F7E0F68A"/>
    <w:lvl w:ilvl="0" w:tplc="39BE7976">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1356983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841370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5570165">
    <w:abstractNumId w:val="11"/>
  </w:num>
  <w:num w:numId="4" w16cid:durableId="503279661">
    <w:abstractNumId w:val="24"/>
  </w:num>
  <w:num w:numId="5" w16cid:durableId="828986864">
    <w:abstractNumId w:val="23"/>
  </w:num>
  <w:num w:numId="6" w16cid:durableId="937103377">
    <w:abstractNumId w:val="8"/>
  </w:num>
  <w:num w:numId="7" w16cid:durableId="1148520214">
    <w:abstractNumId w:val="10"/>
  </w:num>
  <w:num w:numId="8" w16cid:durableId="2118207738">
    <w:abstractNumId w:val="31"/>
  </w:num>
  <w:num w:numId="9" w16cid:durableId="20127527">
    <w:abstractNumId w:val="28"/>
  </w:num>
  <w:num w:numId="10" w16cid:durableId="898322731">
    <w:abstractNumId w:val="30"/>
  </w:num>
  <w:num w:numId="11" w16cid:durableId="1317105322">
    <w:abstractNumId w:val="16"/>
  </w:num>
  <w:num w:numId="12" w16cid:durableId="1784809831">
    <w:abstractNumId w:val="27"/>
  </w:num>
  <w:num w:numId="13" w16cid:durableId="354580622">
    <w:abstractNumId w:val="6"/>
  </w:num>
  <w:num w:numId="14" w16cid:durableId="1342314661">
    <w:abstractNumId w:val="4"/>
  </w:num>
  <w:num w:numId="15" w16cid:durableId="641233979">
    <w:abstractNumId w:val="3"/>
  </w:num>
  <w:num w:numId="16" w16cid:durableId="1433168419">
    <w:abstractNumId w:val="2"/>
  </w:num>
  <w:num w:numId="17" w16cid:durableId="1065640446">
    <w:abstractNumId w:val="1"/>
  </w:num>
  <w:num w:numId="18" w16cid:durableId="238948020">
    <w:abstractNumId w:val="5"/>
  </w:num>
  <w:num w:numId="19" w16cid:durableId="1611203302">
    <w:abstractNumId w:val="0"/>
  </w:num>
  <w:num w:numId="20" w16cid:durableId="1904173793">
    <w:abstractNumId w:val="21"/>
  </w:num>
  <w:num w:numId="21" w16cid:durableId="559753217">
    <w:abstractNumId w:val="9"/>
  </w:num>
  <w:num w:numId="22" w16cid:durableId="1204634669">
    <w:abstractNumId w:val="12"/>
  </w:num>
  <w:num w:numId="23" w16cid:durableId="1110204606">
    <w:abstractNumId w:val="13"/>
  </w:num>
  <w:num w:numId="24" w16cid:durableId="2014987473">
    <w:abstractNumId w:val="17"/>
  </w:num>
  <w:num w:numId="25" w16cid:durableId="1400862239">
    <w:abstractNumId w:val="19"/>
  </w:num>
  <w:num w:numId="26" w16cid:durableId="1314217991">
    <w:abstractNumId w:val="18"/>
  </w:num>
  <w:num w:numId="27" w16cid:durableId="978069175">
    <w:abstractNumId w:val="25"/>
  </w:num>
  <w:num w:numId="28" w16cid:durableId="1094083641">
    <w:abstractNumId w:val="20"/>
  </w:num>
  <w:num w:numId="29" w16cid:durableId="1452673290">
    <w:abstractNumId w:val="14"/>
  </w:num>
  <w:num w:numId="30" w16cid:durableId="412514929">
    <w:abstractNumId w:val="29"/>
  </w:num>
  <w:num w:numId="31" w16cid:durableId="616838925">
    <w:abstractNumId w:val="15"/>
  </w:num>
  <w:num w:numId="32" w16cid:durableId="688991726">
    <w:abstractNumId w:val="22"/>
  </w:num>
  <w:num w:numId="33" w16cid:durableId="198485267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4368B0C9-286C-4EDE-B57F-9D0BFC66F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Pr>
      <w:sz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pPr>
      <w:ind w:left="720"/>
      <w:contextualSpacing/>
    </w:pPr>
  </w:style>
  <w:style w:type="paragraph" w:styleId="CommentSubject">
    <w:name w:val="annotation subject"/>
    <w:basedOn w:val="CommentText"/>
    <w:next w:val="CommentText"/>
    <w:link w:val="CommentSubjectChar"/>
    <w:rPr>
      <w:b/>
      <w:bCs/>
    </w:rPr>
  </w:style>
  <w:style w:type="character" w:customStyle="1" w:styleId="CommentTextChar">
    <w:name w:val="Comment Text Char"/>
    <w:basedOn w:val="DefaultParagraphFont"/>
    <w:link w:val="CommentText"/>
    <w:semiHidden/>
    <w:rPr>
      <w:rFonts w:ascii="Times New Roman" w:hAnsi="Times New Roman"/>
      <w:lang w:val="en-GB"/>
    </w:rPr>
  </w:style>
  <w:style w:type="character" w:customStyle="1" w:styleId="CommentSubjectChar">
    <w:name w:val="Comment Subject Char"/>
    <w:basedOn w:val="CommentTextChar"/>
    <w:link w:val="CommentSubject"/>
    <w:rPr>
      <w:rFonts w:ascii="Times New Roman" w:hAnsi="Times New Roman"/>
      <w:b/>
      <w:bCs/>
      <w:lang w:val="en-GB"/>
    </w:rPr>
  </w:style>
  <w:style w:type="character" w:customStyle="1" w:styleId="NOChar">
    <w:name w:val="NO Char"/>
    <w:link w:val="NO"/>
    <w:qFormat/>
    <w:rPr>
      <w:rFonts w:ascii="Times New Roman" w:hAnsi="Times New Roman"/>
      <w:lang w:val="en-GB"/>
    </w:rPr>
  </w:style>
  <w:style w:type="character" w:customStyle="1" w:styleId="EditorsNoteChar">
    <w:name w:val="Editor's Note Char"/>
    <w:aliases w:val="EN Char,Editor's Note Char1"/>
    <w:link w:val="EditorsNote"/>
    <w:rPr>
      <w:rFonts w:ascii="Times New Roman" w:hAnsi="Times New Roman"/>
      <w:color w:val="FF0000"/>
      <w:lang w:val="en-GB"/>
    </w:rPr>
  </w:style>
  <w:style w:type="character" w:customStyle="1" w:styleId="B1Char">
    <w:name w:val="B1 Char"/>
    <w:link w:val="B1"/>
    <w:qFormat/>
    <w:rPr>
      <w:rFonts w:ascii="Times New Roman" w:hAnsi="Times New Roman"/>
      <w:lang w:val="en-GB"/>
    </w:rPr>
  </w:style>
  <w:style w:type="character" w:customStyle="1" w:styleId="EditorsNoteCharChar">
    <w:name w:val="Editor's Note Char Char"/>
    <w:rPr>
      <w:rFonts w:ascii="Times New Roman" w:hAnsi="Times New Roman"/>
      <w:color w:val="FF0000"/>
      <w:lang w:val="en-GB" w:eastAsia="en-US"/>
    </w:rPr>
  </w:style>
  <w:style w:type="character" w:customStyle="1" w:styleId="Heading3Char">
    <w:name w:val="Heading 3 Char"/>
    <w:aliases w:val="h3 Char"/>
    <w:link w:val="Heading3"/>
    <w:rPr>
      <w:rFonts w:ascii="Arial" w:hAnsi="Arial"/>
      <w:sz w:val="28"/>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Pr>
      <w:rFonts w:ascii="Times New Roman" w:hAnsi="Times New Roman"/>
      <w:lang w:val="en-GB"/>
    </w:rPr>
  </w:style>
  <w:style w:type="character" w:customStyle="1" w:styleId="TF0">
    <w:name w:val="TF (文字)"/>
    <w:link w:val="TF"/>
    <w:qFormat/>
    <w:rPr>
      <w:rFonts w:ascii="Arial" w:hAnsi="Arial"/>
      <w:b/>
      <w:lang w:val="en-GB"/>
    </w:rPr>
  </w:style>
  <w:style w:type="paragraph" w:styleId="NormalWeb">
    <w:name w:val="Normal (Web)"/>
    <w:basedOn w:val="Normal"/>
    <w:uiPriority w:val="99"/>
    <w:unhideWhenUsed/>
    <w:pPr>
      <w:spacing w:before="100" w:beforeAutospacing="1" w:after="100" w:afterAutospacing="1"/>
    </w:pPr>
    <w:rPr>
      <w:rFonts w:eastAsia="Times New Roman"/>
      <w:sz w:val="24"/>
      <w:szCs w:val="24"/>
      <w:lang w:val="sv-SE" w:eastAsia="sv-SE"/>
    </w:rPr>
  </w:style>
  <w:style w:type="character" w:customStyle="1" w:styleId="TAHCar">
    <w:name w:val="TAH Car"/>
    <w:link w:val="TAH"/>
    <w:locked/>
    <w:rPr>
      <w:rFonts w:ascii="Arial" w:hAnsi="Arial"/>
      <w:b/>
      <w:sz w:val="18"/>
      <w:lang w:val="en-GB"/>
    </w:rPr>
  </w:style>
  <w:style w:type="character" w:customStyle="1" w:styleId="TALChar">
    <w:name w:val="TAL Char"/>
    <w:link w:val="TAL"/>
    <w:locked/>
    <w:rPr>
      <w:rFonts w:ascii="Arial" w:hAnsi="Arial"/>
      <w:sz w:val="18"/>
      <w:lang w:val="en-GB"/>
    </w:rPr>
  </w:style>
  <w:style w:type="paragraph" w:styleId="Revision">
    <w:name w:val="Revision"/>
    <w:hidden/>
    <w:uiPriority w:val="99"/>
    <w:semiHidden/>
    <w:rPr>
      <w:rFonts w:ascii="Times New Roman" w:hAnsi="Times New Roman"/>
      <w:lang w:val="en-GB"/>
    </w:rPr>
  </w:style>
  <w:style w:type="character" w:customStyle="1" w:styleId="THChar">
    <w:name w:val="TH Char"/>
    <w:link w:val="TH"/>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9228">
      <w:bodyDiv w:val="1"/>
      <w:marLeft w:val="0"/>
      <w:marRight w:val="0"/>
      <w:marTop w:val="0"/>
      <w:marBottom w:val="0"/>
      <w:divBdr>
        <w:top w:val="none" w:sz="0" w:space="0" w:color="auto"/>
        <w:left w:val="none" w:sz="0" w:space="0" w:color="auto"/>
        <w:bottom w:val="none" w:sz="0" w:space="0" w:color="auto"/>
        <w:right w:val="none" w:sz="0" w:space="0" w:color="auto"/>
      </w:divBdr>
    </w:div>
    <w:div w:id="56946512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116854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505047408">
      <w:bodyDiv w:val="1"/>
      <w:marLeft w:val="0"/>
      <w:marRight w:val="0"/>
      <w:marTop w:val="0"/>
      <w:marBottom w:val="0"/>
      <w:divBdr>
        <w:top w:val="none" w:sz="0" w:space="0" w:color="auto"/>
        <w:left w:val="none" w:sz="0" w:space="0" w:color="auto"/>
        <w:bottom w:val="none" w:sz="0" w:space="0" w:color="auto"/>
        <w:right w:val="none" w:sz="0" w:space="0" w:color="auto"/>
      </w:divBdr>
    </w:div>
    <w:div w:id="177478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6CD6C-9915-4223-8BDB-A47109E0FF3B}">
  <ds:schemaRefs>
    <ds:schemaRef ds:uri="e32f50e1-6846-4d7d-ad60-ccd6877e6c5e"/>
    <ds:schemaRef ds:uri="5a888943-97ca-4c93-b605-714bb5e9e285"/>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sharepoint/v4"/>
    <ds:schemaRef ds:uri="http://www.w3.org/XML/1998/namespace"/>
  </ds:schemaRefs>
</ds:datastoreItem>
</file>

<file path=customXml/itemProps2.xml><?xml version="1.0" encoding="utf-8"?>
<ds:datastoreItem xmlns:ds="http://schemas.openxmlformats.org/officeDocument/2006/customXml" ds:itemID="{BF77EC48-9B7B-4507-A685-90FF187E95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4.xml><?xml version="1.0" encoding="utf-8"?>
<ds:datastoreItem xmlns:ds="http://schemas.openxmlformats.org/officeDocument/2006/customXml" ds:itemID="{405DE41C-5FBE-4267-A435-3576BB844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Pages>
  <Words>894</Words>
  <Characters>4373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IDCC</cp:lastModifiedBy>
  <cp:revision>12</cp:revision>
  <cp:lastPrinted>1900-01-01T08:00:00Z</cp:lastPrinted>
  <dcterms:created xsi:type="dcterms:W3CDTF">2022-04-19T02:40:00Z</dcterms:created>
  <dcterms:modified xsi:type="dcterms:W3CDTF">2022-05-08T23:31:00Z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0x0101006C8E648E97429F4A9C700CA2B719F885</vt:lpwstr>
  </property>
  <property fmtid="{D5CDD505-2E9C-101B-9397-08002B2CF9AE}" pid="5" name="_dlc_DocIdItemGuid">
    <vt:lpwstr>35a1201a-d12a-41d0-a037-78e664fbe851</vt:lpwstr>
  </property>
  <property fmtid="{D5CDD505-2E9C-101B-9397-08002B2CF9AE}" pid="6" name="EriCOLLCategory">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EriCOLLProcess">
    <vt:lpwstr/>
  </property>
</Properties>
</file>